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Планирование, координирование деятельности подразделений по управлению рисками организации</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507.77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«Планирование, координирование деятельности подразделений по управлению рисками организации»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«Планирование, координирование деятельности подразделений по управлению рисками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«Планирование, координирование деятельности подразделений по управлению рисками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принципы целеполагания, организационного планирования и прогнозирования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план работ подразделения и планы работ работников подразделения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уметь оценивать ресурсы, необходимые для эффективного функционирования подразделения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уметь анализировать и координировать объем работ каждого сотрудника в подразделении, составлять календарный план работ работников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ставить цели и формулировать задачи, связанные с реализацией профессиональных функций работников, прогнозировать и определять потребность в работниках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вырабатывать рекомендации по принятию решений в сфере управления рисками,  формулировать решения в рамках подразделения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формулировать цели и задачи работы подразделения и работников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уметь  использовать в профессиональной деятельности знания национальные и международные стандарты, лучшие практики по построению систем управления рисками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ПК-1.28 владеть навыками  определения целей и задач подразделения в соответствии со стратегическими целями организации (декомпозиция стратегических целей организации в задачи подразделения) на основании корпоративных нормативных документов по управлению рисками и требований вышестоящего руководства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формирования оперативного и тактического плана работ подразделения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владеть навыками  определения требований, задач и планирование деятельности сотрудников подразделения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ПК-1.36 владеть навыками  координации деятельности работников подразделения</w:t>
            </w:r>
          </w:p>
        </w:tc>
      </w:tr>
      <w:tr>
        <w:trPr>
          <w:trHeight w:hRule="exact" w:val="416.7446"/>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178.39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«Планирование, координирование деятельности подразделений по управлению рисками организации» относится к обязательной части, является дисциплиной Блока Б1. «Дисциплины (модули)».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w:t>
            </w:r>
          </w:p>
          <w:p>
            <w:pPr>
              <w:jc w:val="center"/>
              <w:spacing w:after="0" w:line="240" w:lineRule="auto"/>
              <w:rPr>
                <w:sz w:val="22"/>
                <w:szCs w:val="22"/>
              </w:rPr>
            </w:pPr>
            <w:r>
              <w:rPr>
                <w:rFonts w:ascii="Times New Roman" w:hAnsi="Times New Roman" w:cs="Times New Roman"/>
                <w:color w:val="#000000"/>
                <w:sz w:val="22"/>
                <w:szCs w:val="22"/>
              </w:rPr>
              <w:t> Модуль "Эффективная коммуникация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Мотивация и контроль эффективности работы сотрудников подразделений в сфере управления рисками</w:t>
            </w:r>
          </w:p>
          <w:p>
            <w:pPr>
              <w:jc w:val="center"/>
              <w:spacing w:after="0" w:line="240" w:lineRule="auto"/>
              <w:rPr>
                <w:sz w:val="22"/>
                <w:szCs w:val="22"/>
              </w:rPr>
            </w:pPr>
            <w:r>
              <w:rPr>
                <w:rFonts w:ascii="Times New Roman" w:hAnsi="Times New Roman" w:cs="Times New Roman"/>
                <w:color w:val="#000000"/>
                <w:sz w:val="22"/>
                <w:szCs w:val="22"/>
              </w:rPr>
              <w:t> Финансовый риск-менеджмент</w:t>
            </w:r>
          </w:p>
          <w:p>
            <w:pPr>
              <w:jc w:val="center"/>
              <w:spacing w:after="0" w:line="240" w:lineRule="auto"/>
              <w:rPr>
                <w:sz w:val="22"/>
                <w:szCs w:val="22"/>
              </w:rPr>
            </w:pPr>
            <w:r>
              <w:rPr>
                <w:rFonts w:ascii="Times New Roman" w:hAnsi="Times New Roman" w:cs="Times New Roman"/>
                <w:color w:val="#000000"/>
                <w:sz w:val="22"/>
                <w:szCs w:val="22"/>
              </w:rPr>
              <w:t> Интегрированный риск-менеджмент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w:t>
            </w:r>
          </w:p>
          <w:p>
            <w:pPr>
              <w:jc w:val="center"/>
              <w:spacing w:after="0" w:line="240" w:lineRule="auto"/>
              <w:rPr>
                <w:sz w:val="22"/>
                <w:szCs w:val="22"/>
              </w:rPr>
            </w:pPr>
            <w:r>
              <w:rPr>
                <w:rFonts w:ascii="Times New Roman" w:hAnsi="Times New Roman" w:cs="Times New Roman"/>
                <w:color w:val="#000000"/>
                <w:sz w:val="22"/>
                <w:szCs w:val="22"/>
              </w:rPr>
              <w:t> Модуль "Эффективная коммуникация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Мотивация и контроль эффективности работы сотрудников подразделений в сфере управления рисками</w:t>
            </w:r>
          </w:p>
          <w:p>
            <w:pPr>
              <w:jc w:val="center"/>
              <w:spacing w:after="0" w:line="240" w:lineRule="auto"/>
              <w:rPr>
                <w:sz w:val="22"/>
                <w:szCs w:val="22"/>
              </w:rPr>
            </w:pPr>
            <w:r>
              <w:rPr>
                <w:rFonts w:ascii="Times New Roman" w:hAnsi="Times New Roman" w:cs="Times New Roman"/>
                <w:color w:val="#000000"/>
                <w:sz w:val="22"/>
                <w:szCs w:val="22"/>
              </w:rPr>
              <w:t> Финансовый риск-менеджмент</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 управления рисками</w:t>
            </w:r>
          </w:p>
          <w:p>
            <w:pPr>
              <w:jc w:val="center"/>
              <w:spacing w:after="0" w:line="240" w:lineRule="auto"/>
              <w:rPr>
                <w:sz w:val="22"/>
                <w:szCs w:val="22"/>
              </w:rPr>
            </w:pPr>
            <w:r>
              <w:rPr>
                <w:rFonts w:ascii="Times New Roman" w:hAnsi="Times New Roman" w:cs="Times New Roman"/>
                <w:color w:val="#000000"/>
                <w:sz w:val="22"/>
                <w:szCs w:val="22"/>
              </w:rPr>
              <w:t> Модуль "Интегрированная система управления рисками"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курсовые работы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Страхование как метод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риск-менеджмент. Организация	процесса управления риском.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рисками в системе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Страхование как метод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выявления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Финансирование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Самострахование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Экзаменационные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5161.7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риск-менеджмент. Организация	процесса управления риском.</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Терминология риск-менеджмента;	цели, задачи	и	функции</w:t>
            </w:r>
          </w:p>
          <w:p>
            <w:pPr>
              <w:jc w:val="both"/>
              <w:spacing w:after="0" w:line="240" w:lineRule="auto"/>
              <w:rPr>
                <w:sz w:val="24"/>
                <w:szCs w:val="24"/>
              </w:rPr>
            </w:pPr>
            <w:r>
              <w:rPr>
                <w:rFonts w:ascii="Times New Roman" w:hAnsi="Times New Roman" w:cs="Times New Roman"/>
                <w:color w:val="#000000"/>
                <w:sz w:val="24"/>
                <w:szCs w:val="24"/>
              </w:rPr>
              <w:t> риск-менеджмента;функциональная структура риск-менеджмента;</w:t>
            </w:r>
          </w:p>
          <w:p>
            <w:pPr>
              <w:jc w:val="both"/>
              <w:spacing w:after="0" w:line="240" w:lineRule="auto"/>
              <w:rPr>
                <w:sz w:val="24"/>
                <w:szCs w:val="24"/>
              </w:rPr>
            </w:pPr>
            <w:r>
              <w:rPr>
                <w:rFonts w:ascii="Times New Roman" w:hAnsi="Times New Roman" w:cs="Times New Roman"/>
                <w:color w:val="#000000"/>
                <w:sz w:val="24"/>
                <w:szCs w:val="24"/>
              </w:rPr>
              <w:t> алгоритм управления риском	в	системе управления</w:t>
            </w:r>
          </w:p>
          <w:p>
            <w:pPr>
              <w:jc w:val="both"/>
              <w:spacing w:after="0" w:line="240" w:lineRule="auto"/>
              <w:rPr>
                <w:sz w:val="24"/>
                <w:szCs w:val="24"/>
              </w:rPr>
            </w:pPr>
            <w:r>
              <w:rPr>
                <w:rFonts w:ascii="Times New Roman" w:hAnsi="Times New Roman" w:cs="Times New Roman"/>
                <w:color w:val="#000000"/>
                <w:sz w:val="24"/>
                <w:szCs w:val="24"/>
              </w:rPr>
              <w:t> предприятием; организация управления	риском предприятия;</w:t>
            </w:r>
          </w:p>
          <w:p>
            <w:pPr>
              <w:jc w:val="both"/>
              <w:spacing w:after="0" w:line="240" w:lineRule="auto"/>
              <w:rPr>
                <w:sz w:val="24"/>
                <w:szCs w:val="24"/>
              </w:rPr>
            </w:pPr>
            <w:r>
              <w:rPr>
                <w:rFonts w:ascii="Times New Roman" w:hAnsi="Times New Roman" w:cs="Times New Roman"/>
                <w:color w:val="#000000"/>
                <w:sz w:val="24"/>
                <w:szCs w:val="24"/>
              </w:rPr>
              <w:t> мониторинг программ	риск- менджмента; принятие решений.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рисков</w:t>
            </w:r>
          </w:p>
        </w:tc>
      </w:tr>
      <w:tr>
        <w:trPr>
          <w:trHeight w:hRule="exact" w:val="582.8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классификации рисков;промышленные риски; экологические риски; инвестиционные риски; кредитные риски; технические риски;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предпринимательские риски, финансовые и коммерческие риски; страновые риски, политические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выявления риска</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выявлению риска; опросные	листы; структурные диаграммы;	карты потоков;	прямая инспекция;анализ финансовой и управленческой отчетности.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оценки риска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вероятности неблагоприятных событий; метод построения деревьев событий; метод</w:t>
            </w:r>
          </w:p>
          <w:p>
            <w:pPr>
              <w:jc w:val="both"/>
              <w:spacing w:after="0" w:line="240" w:lineRule="auto"/>
              <w:rPr>
                <w:sz w:val="24"/>
                <w:szCs w:val="24"/>
              </w:rPr>
            </w:pPr>
            <w:r>
              <w:rPr>
                <w:rFonts w:ascii="Times New Roman" w:hAnsi="Times New Roman" w:cs="Times New Roman"/>
                <w:color w:val="#000000"/>
                <w:sz w:val="24"/>
                <w:szCs w:val="24"/>
              </w:rPr>
              <w:t> «события – последствия»; метод деревьев отказов;</w:t>
            </w:r>
          </w:p>
          <w:p>
            <w:pPr>
              <w:jc w:val="both"/>
              <w:spacing w:after="0" w:line="240" w:lineRule="auto"/>
              <w:rPr>
                <w:sz w:val="24"/>
                <w:szCs w:val="24"/>
              </w:rPr>
            </w:pPr>
            <w:r>
              <w:rPr>
                <w:rFonts w:ascii="Times New Roman" w:hAnsi="Times New Roman" w:cs="Times New Roman"/>
                <w:color w:val="#000000"/>
                <w:sz w:val="24"/>
                <w:szCs w:val="24"/>
              </w:rPr>
              <w:t> оценка ущерба.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Финансирование риска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Затраты на риск; источники финансированияриска; структура затрат при различных методах управления риском; виды финансирования риска.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риск-менеджмент. Организация	процесса управления риском.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Терминология риск-менеджмента;	цели, задачи	и	функции</w:t>
            </w:r>
          </w:p>
          <w:p>
            <w:pPr>
              <w:jc w:val="both"/>
              <w:spacing w:after="0" w:line="240" w:lineRule="auto"/>
              <w:rPr>
                <w:sz w:val="24"/>
                <w:szCs w:val="24"/>
              </w:rPr>
            </w:pPr>
            <w:r>
              <w:rPr>
                <w:rFonts w:ascii="Times New Roman" w:hAnsi="Times New Roman" w:cs="Times New Roman"/>
                <w:color w:val="#000000"/>
                <w:sz w:val="24"/>
                <w:szCs w:val="24"/>
              </w:rPr>
              <w:t> риск-менеджмента;функциональная структура риск-менеджмента;</w:t>
            </w:r>
          </w:p>
          <w:p>
            <w:pPr>
              <w:jc w:val="both"/>
              <w:spacing w:after="0" w:line="240" w:lineRule="auto"/>
              <w:rPr>
                <w:sz w:val="24"/>
                <w:szCs w:val="24"/>
              </w:rPr>
            </w:pPr>
            <w:r>
              <w:rPr>
                <w:rFonts w:ascii="Times New Roman" w:hAnsi="Times New Roman" w:cs="Times New Roman"/>
                <w:color w:val="#000000"/>
                <w:sz w:val="24"/>
                <w:szCs w:val="24"/>
              </w:rPr>
              <w:t> алгоритм управления риском	в	системе управления</w:t>
            </w:r>
          </w:p>
          <w:p>
            <w:pPr>
              <w:jc w:val="both"/>
              <w:spacing w:after="0" w:line="240" w:lineRule="auto"/>
              <w:rPr>
                <w:sz w:val="24"/>
                <w:szCs w:val="24"/>
              </w:rPr>
            </w:pPr>
            <w:r>
              <w:rPr>
                <w:rFonts w:ascii="Times New Roman" w:hAnsi="Times New Roman" w:cs="Times New Roman"/>
                <w:color w:val="#000000"/>
                <w:sz w:val="24"/>
                <w:szCs w:val="24"/>
              </w:rPr>
              <w:t> предприятием; организация управления	риском предприятия;</w:t>
            </w:r>
          </w:p>
          <w:p>
            <w:pPr>
              <w:jc w:val="both"/>
              <w:spacing w:after="0" w:line="240" w:lineRule="auto"/>
              <w:rPr>
                <w:sz w:val="24"/>
                <w:szCs w:val="24"/>
              </w:rPr>
            </w:pPr>
            <w:r>
              <w:rPr>
                <w:rFonts w:ascii="Times New Roman" w:hAnsi="Times New Roman" w:cs="Times New Roman"/>
                <w:color w:val="#000000"/>
                <w:sz w:val="24"/>
                <w:szCs w:val="24"/>
              </w:rPr>
              <w:t> мониторинг программ	риск- менджмента; принятие решений.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рисков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классификации рисков;промышленные риски; экологические риски; инвестиционные риски; кредитные риски; технические риски; предпринимательские риски, финансовые и коммерческие риски; страновые риски, политические риски.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выявления риска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выявлению риска; опросные	листы; структурные диаграммы;	карты потоков;	прямая инспекция;анализ финансовой и управленческой отчетности.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оценки риска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вероятности неблагоприятных событий; метод построения деревьев событий; метод</w:t>
            </w:r>
          </w:p>
          <w:p>
            <w:pPr>
              <w:jc w:val="both"/>
              <w:spacing w:after="0" w:line="240" w:lineRule="auto"/>
              <w:rPr>
                <w:sz w:val="24"/>
                <w:szCs w:val="24"/>
              </w:rPr>
            </w:pPr>
            <w:r>
              <w:rPr>
                <w:rFonts w:ascii="Times New Roman" w:hAnsi="Times New Roman" w:cs="Times New Roman"/>
                <w:color w:val="#000000"/>
                <w:sz w:val="24"/>
                <w:szCs w:val="24"/>
              </w:rPr>
              <w:t> «события – последствия»; метод деревьев отказов;</w:t>
            </w:r>
          </w:p>
          <w:p>
            <w:pPr>
              <w:jc w:val="both"/>
              <w:spacing w:after="0" w:line="240" w:lineRule="auto"/>
              <w:rPr>
                <w:sz w:val="24"/>
                <w:szCs w:val="24"/>
              </w:rPr>
            </w:pPr>
            <w:r>
              <w:rPr>
                <w:rFonts w:ascii="Times New Roman" w:hAnsi="Times New Roman" w:cs="Times New Roman"/>
                <w:color w:val="#000000"/>
                <w:sz w:val="24"/>
                <w:szCs w:val="24"/>
              </w:rPr>
              <w:t> оценка ущерба.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Финансирование риска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Затраты на риск; источники финансированияриска; структура затрат при различных методах управления риском; виды финансирования риска.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рисками в системе риск-менеджмента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приемлемого	риска; активное	и пассивное управление рисками; методы 	управления рисками организации: сущность, возможности использования; системный подход к управлению рисками организации; контроль	и оценка эффективности мероприятий		по управлению рисками.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Самострахование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фонда риска; преимущества и недостатки самострахования;кэптивные страховые компании (причины,цели	создания, преимущества, недостатки и типы кэптивных страховых компаний), другие методы самострахования.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«Планирование, координирование деятельности подразделений по управлению рисками организации» / Малышенко Генннадий Иванович.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проекта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Шкурко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Гребенкин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978-5-534-11408-9.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https://urait.ru/bcode/457080</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https://urait.ru/bcode/450164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https://urait.ru/bcode/451702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https://urait.ru/bcode/451704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системах</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базе</w:t>
            </w:r>
            <w:r>
              <w:rPr/>
              <w:t xml:space="preserve"> </w:t>
            </w:r>
            <w:r>
              <w:rPr>
                <w:rFonts w:ascii="Times New Roman" w:hAnsi="Times New Roman" w:cs="Times New Roman"/>
                <w:color w:val="#000000"/>
                <w:sz w:val="24"/>
                <w:szCs w:val="24"/>
              </w:rPr>
              <w:t>операционных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системах</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базе</w:t>
            </w:r>
            <w:r>
              <w:rPr/>
              <w:t xml:space="preserve"> </w:t>
            </w:r>
            <w:r>
              <w:rPr>
                <w:rFonts w:ascii="Times New Roman" w:hAnsi="Times New Roman" w:cs="Times New Roman"/>
                <w:color w:val="#000000"/>
                <w:sz w:val="24"/>
                <w:szCs w:val="24"/>
              </w:rPr>
              <w:t>операционных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Microsoft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978-5-4497-0300-2.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http://www.iprbookshop.ru/89416.html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72.3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2024-2025_ФГОС3++2024_Маг-ОФО-Менеджмент(РМСиТПО)(24)_plx_Планирование_ координирование деятельности подразделений по управлению рисками организации</dc:title>
  <dc:creator>FastReport.NET</dc:creator>
</cp:coreProperties>
</file>